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4.9.0.0 -->
  <w:body>
    <w:p w:rsidR="00A77B3E">
      <w:pPr>
        <w:ind w:left="0"/>
        <w:jc w:val="center"/>
        <w:rPr>
          <w:b/>
          <w:caps/>
        </w:rPr>
      </w:pPr>
      <w:r>
        <w:rPr>
          <w:b/>
          <w:caps/>
        </w:rPr>
        <w:t>Uchwała</w:t>
      </w:r>
      <w:r>
        <w:rPr>
          <w:b/>
          <w:caps/>
        </w:rPr>
        <w:t xml:space="preserve"> Nr XI/56/15</w:t>
      </w:r>
      <w:r>
        <w:rPr>
          <w:b/>
          <w:caps/>
        </w:rPr>
        <w:br/>
      </w:r>
      <w:r>
        <w:rPr>
          <w:b/>
          <w:caps/>
        </w:rPr>
        <w:t>Rady Gminy Ostrowice</w:t>
      </w:r>
    </w:p>
    <w:p w:rsidR="00A77B3E">
      <w:pPr>
        <w:spacing w:before="280" w:after="280"/>
        <w:ind w:left="0"/>
        <w:jc w:val="center"/>
        <w:rPr>
          <w:b/>
          <w:caps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30 grudnia 2015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z w:val="22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 zmian w budżecie gminy na 2015 r.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Na podstawie  art. 18 ust. 2 pkt 4 ustawy z dnia 8 marca 1990 r. o samorządzie gminnym (t.j. Dz. U.</w:t>
      </w:r>
      <w:r>
        <w:rPr>
          <w:rFonts w:ascii="Times New Roman" w:eastAsia="Times New Roman" w:hAnsi="Times New Roman" w:cs="Times New Roman"/>
          <w:b w:val="0"/>
          <w:caps w:val="0"/>
          <w:sz w:val="22"/>
        </w:rPr>
        <w:br/>
      </w:r>
      <w:r>
        <w:rPr>
          <w:rFonts w:ascii="Times New Roman" w:eastAsia="Times New Roman" w:hAnsi="Times New Roman" w:cs="Times New Roman"/>
          <w:b w:val="0"/>
          <w:caps w:val="0"/>
          <w:sz w:val="22"/>
        </w:rPr>
        <w:t>z 2013 r. poz. 594, poz. 645, poz. 1318 oraz z 2014 r. poz. 379, poz. 1072)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z w:val="22"/>
        </w:rPr>
      </w:pPr>
      <w:r>
        <w:rPr>
          <w:b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z w:val="22"/>
        </w:rPr>
        <w:t xml:space="preserve">Dokonuje się przeniesienia planu wydatków w budżecie gminy w kwocie </w:t>
      </w:r>
      <w:r>
        <w:rPr>
          <w:rFonts w:ascii="Times New Roman" w:eastAsia="Times New Roman" w:hAnsi="Times New Roman" w:cs="Times New Roman"/>
          <w:b/>
          <w:caps w:val="0"/>
          <w:sz w:val="22"/>
        </w:rPr>
        <w:t xml:space="preserve">495 308,00 zł </w:t>
      </w:r>
      <w:r>
        <w:rPr>
          <w:rFonts w:ascii="Times New Roman" w:eastAsia="Times New Roman" w:hAnsi="Times New Roman" w:cs="Times New Roman"/>
          <w:b w:val="0"/>
          <w:caps w:val="0"/>
          <w:sz w:val="22"/>
        </w:rPr>
        <w:t>zgodnie</w:t>
      </w:r>
      <w:r>
        <w:rPr>
          <w:rFonts w:ascii="Times New Roman" w:eastAsia="Times New Roman" w:hAnsi="Times New Roman" w:cs="Times New Roman"/>
          <w:b w:val="0"/>
          <w:caps w:val="0"/>
          <w:sz w:val="22"/>
        </w:rPr>
        <w:br/>
      </w:r>
      <w:r>
        <w:rPr>
          <w:rFonts w:ascii="Times New Roman" w:eastAsia="Times New Roman" w:hAnsi="Times New Roman" w:cs="Times New Roman"/>
          <w:b w:val="0"/>
          <w:caps w:val="0"/>
          <w:sz w:val="22"/>
        </w:rPr>
        <w:t>z załącznikiem 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z w:val="22"/>
        </w:rPr>
      </w:pPr>
      <w:r>
        <w:rPr>
          <w:b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z w:val="22"/>
        </w:rPr>
        <w:t>Po dokonanych zmianach budżet zamyka się: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z w:val="22"/>
        </w:rPr>
      </w:pPr>
      <w:r>
        <w:t>1) </w:t>
      </w:r>
      <w:r>
        <w:rPr>
          <w:rFonts w:ascii="Times New Roman" w:eastAsia="Times New Roman" w:hAnsi="Times New Roman" w:cs="Times New Roman"/>
          <w:b w:val="0"/>
          <w:caps w:val="0"/>
          <w:sz w:val="22"/>
        </w:rPr>
        <w:t xml:space="preserve">po stronie dochodów kwotą </w:t>
      </w:r>
      <w:r>
        <w:rPr>
          <w:rFonts w:ascii="Times New Roman" w:eastAsia="Times New Roman" w:hAnsi="Times New Roman" w:cs="Times New Roman"/>
          <w:b/>
          <w:caps w:val="0"/>
          <w:sz w:val="22"/>
        </w:rPr>
        <w:t xml:space="preserve">10 407 592,58 zł </w:t>
      </w:r>
      <w:r>
        <w:rPr>
          <w:rFonts w:ascii="Times New Roman" w:eastAsia="Times New Roman" w:hAnsi="Times New Roman" w:cs="Times New Roman"/>
          <w:b w:val="0"/>
          <w:caps w:val="0"/>
          <w:sz w:val="22"/>
        </w:rPr>
        <w:t>w tym:</w:t>
      </w:r>
    </w:p>
    <w:p w:rsidR="00A77B3E">
      <w:pPr>
        <w:keepNext w:val="0"/>
        <w:keepLines/>
        <w:spacing w:before="120" w:after="120" w:line="240" w:lineRule="auto"/>
        <w:ind w:left="567" w:right="0" w:hanging="113"/>
        <w:jc w:val="both"/>
        <w:rPr>
          <w:rFonts w:ascii="Times New Roman" w:eastAsia="Times New Roman" w:hAnsi="Times New Roman" w:cs="Times New Roman"/>
          <w:b w:val="0"/>
          <w:caps w:val="0"/>
          <w:sz w:val="22"/>
        </w:rPr>
      </w:pPr>
      <w:r>
        <w:t>- </w:t>
      </w:r>
      <w:r>
        <w:rPr>
          <w:rFonts w:ascii="Times New Roman" w:eastAsia="Times New Roman" w:hAnsi="Times New Roman" w:cs="Times New Roman"/>
          <w:b w:val="0"/>
          <w:caps w:val="0"/>
          <w:sz w:val="22"/>
        </w:rPr>
        <w:t>dochody bieżące – 9 733 481,97 zł, w tym:</w:t>
      </w:r>
    </w:p>
    <w:p w:rsidR="00A77B3E">
      <w:pPr>
        <w:keepNext w:val="0"/>
        <w:keepLines/>
        <w:spacing w:before="120" w:after="120" w:line="240" w:lineRule="auto"/>
        <w:ind w:left="567" w:right="0" w:hanging="113"/>
        <w:jc w:val="both"/>
        <w:rPr>
          <w:rFonts w:ascii="Times New Roman" w:eastAsia="Times New Roman" w:hAnsi="Times New Roman" w:cs="Times New Roman"/>
          <w:b w:val="0"/>
          <w:caps w:val="0"/>
          <w:sz w:val="22"/>
        </w:rPr>
      </w:pPr>
      <w:r>
        <w:t>- </w:t>
      </w:r>
      <w:r>
        <w:rPr>
          <w:rFonts w:ascii="Times New Roman" w:eastAsia="Times New Roman" w:hAnsi="Times New Roman" w:cs="Times New Roman"/>
          <w:b w:val="0"/>
          <w:caps w:val="0"/>
          <w:sz w:val="22"/>
        </w:rPr>
        <w:t>dotacje na zadania zlecone – 1 428 737,92 zł.</w:t>
      </w:r>
    </w:p>
    <w:p w:rsidR="00A77B3E">
      <w:pPr>
        <w:keepNext w:val="0"/>
        <w:keepLines/>
        <w:spacing w:before="120" w:after="120" w:line="240" w:lineRule="auto"/>
        <w:ind w:left="567" w:right="0" w:hanging="113"/>
        <w:jc w:val="both"/>
        <w:rPr>
          <w:rFonts w:ascii="Times New Roman" w:eastAsia="Times New Roman" w:hAnsi="Times New Roman" w:cs="Times New Roman"/>
          <w:b w:val="0"/>
          <w:caps w:val="0"/>
          <w:sz w:val="22"/>
        </w:rPr>
      </w:pPr>
      <w:r>
        <w:t>- </w:t>
      </w:r>
      <w:r>
        <w:rPr>
          <w:rFonts w:ascii="Times New Roman" w:eastAsia="Times New Roman" w:hAnsi="Times New Roman" w:cs="Times New Roman"/>
          <w:b w:val="0"/>
          <w:caps w:val="0"/>
          <w:sz w:val="22"/>
        </w:rPr>
        <w:t>dochody majątkowe – 674 110,61 zł.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z w:val="22"/>
        </w:rPr>
      </w:pPr>
      <w:r>
        <w:t>2) </w:t>
      </w:r>
      <w:r>
        <w:rPr>
          <w:rFonts w:ascii="Times New Roman" w:eastAsia="Times New Roman" w:hAnsi="Times New Roman" w:cs="Times New Roman"/>
          <w:b w:val="0"/>
          <w:caps w:val="0"/>
          <w:sz w:val="22"/>
        </w:rPr>
        <w:t xml:space="preserve">po stronie wydatków </w:t>
      </w:r>
      <w:r>
        <w:rPr>
          <w:rFonts w:ascii="Times New Roman" w:eastAsia="Times New Roman" w:hAnsi="Times New Roman" w:cs="Times New Roman"/>
          <w:b/>
          <w:caps w:val="0"/>
          <w:sz w:val="22"/>
        </w:rPr>
        <w:t xml:space="preserve">10 832 600,16 zł </w:t>
      </w:r>
      <w:r>
        <w:rPr>
          <w:rFonts w:ascii="Times New Roman" w:eastAsia="Times New Roman" w:hAnsi="Times New Roman" w:cs="Times New Roman"/>
          <w:b w:val="0"/>
          <w:caps w:val="0"/>
          <w:sz w:val="22"/>
        </w:rPr>
        <w:t>w tym:</w:t>
      </w:r>
    </w:p>
    <w:p w:rsidR="00A77B3E">
      <w:pPr>
        <w:keepNext w:val="0"/>
        <w:keepLines/>
        <w:spacing w:before="120" w:after="120" w:line="240" w:lineRule="auto"/>
        <w:ind w:left="567" w:right="0" w:hanging="113"/>
        <w:jc w:val="both"/>
        <w:rPr>
          <w:rFonts w:ascii="Times New Roman" w:eastAsia="Times New Roman" w:hAnsi="Times New Roman" w:cs="Times New Roman"/>
          <w:b w:val="0"/>
          <w:caps w:val="0"/>
          <w:sz w:val="22"/>
        </w:rPr>
      </w:pPr>
      <w:r>
        <w:t>- </w:t>
      </w:r>
      <w:r>
        <w:rPr>
          <w:rFonts w:ascii="Times New Roman" w:eastAsia="Times New Roman" w:hAnsi="Times New Roman" w:cs="Times New Roman"/>
          <w:b w:val="0"/>
          <w:caps w:val="0"/>
          <w:sz w:val="22"/>
        </w:rPr>
        <w:t>wydatki bieżące – 10 433 887,05 zł, w tym:</w:t>
      </w:r>
    </w:p>
    <w:p w:rsidR="00A77B3E">
      <w:pPr>
        <w:keepNext w:val="0"/>
        <w:keepLines/>
        <w:spacing w:before="120" w:after="120" w:line="240" w:lineRule="auto"/>
        <w:ind w:left="567" w:right="0" w:hanging="113"/>
        <w:jc w:val="both"/>
        <w:rPr>
          <w:rFonts w:ascii="Times New Roman" w:eastAsia="Times New Roman" w:hAnsi="Times New Roman" w:cs="Times New Roman"/>
          <w:b w:val="0"/>
          <w:caps w:val="0"/>
          <w:sz w:val="22"/>
        </w:rPr>
      </w:pPr>
      <w:r>
        <w:t>- </w:t>
      </w:r>
      <w:r>
        <w:rPr>
          <w:rFonts w:ascii="Times New Roman" w:eastAsia="Times New Roman" w:hAnsi="Times New Roman" w:cs="Times New Roman"/>
          <w:b w:val="0"/>
          <w:caps w:val="0"/>
          <w:sz w:val="22"/>
        </w:rPr>
        <w:t>wydatki na zadania zlecone – 1 428 737,92 zł</w:t>
      </w:r>
    </w:p>
    <w:p w:rsidR="00A77B3E">
      <w:pPr>
        <w:keepNext w:val="0"/>
        <w:keepLines/>
        <w:spacing w:before="120" w:after="120" w:line="240" w:lineRule="auto"/>
        <w:ind w:left="567" w:right="0" w:hanging="113"/>
        <w:jc w:val="both"/>
        <w:rPr>
          <w:rFonts w:ascii="Times New Roman" w:eastAsia="Times New Roman" w:hAnsi="Times New Roman" w:cs="Times New Roman"/>
          <w:b w:val="0"/>
          <w:caps w:val="0"/>
          <w:sz w:val="22"/>
        </w:rPr>
      </w:pPr>
      <w:r>
        <w:t>- </w:t>
      </w:r>
      <w:r>
        <w:rPr>
          <w:rFonts w:ascii="Times New Roman" w:eastAsia="Times New Roman" w:hAnsi="Times New Roman" w:cs="Times New Roman"/>
          <w:b w:val="0"/>
          <w:caps w:val="0"/>
          <w:sz w:val="22"/>
        </w:rPr>
        <w:t>wydatki majątkowe – 398 713,11 zł.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z w:val="22"/>
        </w:rPr>
      </w:pPr>
      <w:r>
        <w:t>3) </w:t>
      </w:r>
      <w:r>
        <w:rPr>
          <w:rFonts w:ascii="Times New Roman" w:eastAsia="Times New Roman" w:hAnsi="Times New Roman" w:cs="Times New Roman"/>
          <w:b w:val="0"/>
          <w:caps w:val="0"/>
          <w:sz w:val="22"/>
        </w:rPr>
        <w:t>deficytem w kwocie 425 007,58 zł pokrytym przychodami z instytucji finansowych.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z w:val="22"/>
        </w:rPr>
      </w:pPr>
      <w:r>
        <w:rPr>
          <w:b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z w:val="22"/>
        </w:rPr>
        <w:t>Wykonanie Uchwały powierza się Wójtowi Gminy.</w:t>
      </w:r>
      <w:r>
        <w:rPr>
          <w:rFonts w:ascii="Times New Roman" w:eastAsia="Times New Roman" w:hAnsi="Times New Roman" w:cs="Times New Roman"/>
          <w:b w:val="0"/>
          <w:caps w:val="0"/>
          <w:sz w:val="22"/>
        </w:rPr>
        <w:tab/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z w:val="22"/>
        </w:rPr>
      </w:pPr>
      <w:r>
        <w:rPr>
          <w:b/>
        </w:rPr>
        <w:t>§ 4. </w:t>
      </w:r>
      <w:r>
        <w:rPr>
          <w:rFonts w:ascii="Times New Roman" w:eastAsia="Times New Roman" w:hAnsi="Times New Roman" w:cs="Times New Roman"/>
          <w:b w:val="0"/>
          <w:caps w:val="0"/>
          <w:sz w:val="22"/>
        </w:rPr>
        <w:t>Uchwała wchodzi w życie z 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z w:val="22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caps w:val="0"/>
          <w:sz w:val="22"/>
        </w:rPr>
      </w:pPr>
      <w:r>
        <w:rPr>
          <w:b w:val="0"/>
          <w:i w:val="0"/>
          <w:u w:val="none"/>
        </w:rPr>
        <w:t> </w:t>
      </w: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blPrEx>
          <w:tblW w:w="5000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jc w:val="left"/>
              <w:rPr>
                <w:rStyle w:val="DefaultParagraphFont"/>
                <w:b w:val="0"/>
                <w:bCs w:val="0"/>
                <w:i w:val="0"/>
                <w:iCs w:val="0"/>
                <w:smallCaps w:val="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Style w:val="DefaultParagraphFont"/>
                <w:b w:val="0"/>
                <w:bCs w:val="0"/>
                <w:i w:val="0"/>
                <w:iCs w:val="0"/>
                <w:smallCaps w:val="0"/>
                <w:sz w:val="22"/>
                <w:szCs w:val="22"/>
              </w:rPr>
            </w:pPr>
            <w:r>
              <w:rPr>
                <w:rStyle w:val="DefaultParagraphFont"/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sz w:val="22"/>
                <w:szCs w:val="22"/>
              </w:rPr>
              <w:t>Przewodniczący Rady</w:t>
            </w:r>
            <w:r>
              <w:rPr>
                <w:rStyle w:val="DefaultParagraphFont"/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sz w:val="22"/>
                <w:szCs w:val="22"/>
              </w:rPr>
              <w:br/>
            </w:r>
            <w:r>
              <w:rPr>
                <w:rStyle w:val="DefaultParagraphFont"/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sz w:val="22"/>
                <w:szCs w:val="22"/>
              </w:rPr>
              <w:br/>
            </w:r>
            <w:r>
              <w:rPr>
                <w:rStyle w:val="DefaultParagraphFont"/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sz w:val="22"/>
                <w:szCs w:val="22"/>
              </w:rPr>
              <w:br/>
            </w:r>
            <w:r>
              <w:rPr>
                <w:b/>
              </w:rPr>
              <w:t>Roman Bany</w:t>
            </w:r>
          </w:p>
        </w:tc>
      </w:tr>
    </w:tbl>
    <w:p w:rsidR="00A77B3E">
      <w:pPr>
        <w:rPr>
          <w:rFonts w:ascii="Times New Roman" w:eastAsia="Times New Roman" w:hAnsi="Times New Roman" w:cs="Times New Roman"/>
          <w:b w:val="0"/>
          <w:i w:val="0"/>
          <w:caps w:val="0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caps w:val="0"/>
          <w:sz w:val="22"/>
        </w:rPr>
        <w:sectPr>
          <w:footerReference w:type="default" r:id="rId4"/>
          <w:pgSz w:w="11906" w:h="16838"/>
          <w:pgMar w:top="850" w:right="850" w:bottom="1417" w:left="85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360" w:lineRule="auto"/>
        <w:ind w:left="4535" w:right="0" w:firstLine="0"/>
        <w:jc w:val="left"/>
        <w:rPr>
          <w:rFonts w:ascii="Times New Roman" w:eastAsia="Times New Roman" w:hAnsi="Times New Roman" w:cs="Times New Roman"/>
          <w:b w:val="0"/>
          <w:caps w:val="0"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fldChar w:fldCharType="begin"/>
      </w:r>
      <w:r>
        <w:rPr>
          <w:rFonts w:ascii="Times New Roman" w:eastAsia="Times New Roman" w:hAnsi="Times New Roman" w:cs="Times New Roman"/>
          <w:b w:val="0"/>
          <w:caps w:val="0"/>
          <w:sz w:val="22"/>
        </w:rPr>
        <w:fldChar w:fldCharType="separate"/>
      </w:r>
      <w:r>
        <w:rPr>
          <w:rFonts w:ascii="Times New Roman" w:eastAsia="Times New Roman" w:hAnsi="Times New Roman" w:cs="Times New Roman"/>
          <w:b w:val="0"/>
          <w:caps w:val="0"/>
          <w:sz w:val="22"/>
        </w:rPr>
        <w:t xml:space="preserve"> </w:t>
      </w:r>
      <w:r>
        <w:rPr>
          <w:rFonts w:ascii="Times New Roman" w:eastAsia="Times New Roman" w:hAnsi="Times New Roman" w:cs="Times New Roman"/>
          <w:b w:val="0"/>
          <w:caps w:val="0"/>
          <w:sz w:val="22"/>
        </w:rPr>
        <w:fldChar w:fldCharType="end"/>
      </w:r>
      <w:r>
        <w:rPr>
          <w:rFonts w:ascii="Times New Roman" w:eastAsia="Times New Roman" w:hAnsi="Times New Roman" w:cs="Times New Roman"/>
          <w:b w:val="0"/>
          <w:caps w:val="0"/>
          <w:sz w:val="22"/>
        </w:rPr>
        <w:t>Załącznik do Uchwały Nr XI/56/15</w:t>
      </w:r>
      <w:r>
        <w:rPr>
          <w:rFonts w:ascii="Times New Roman" w:eastAsia="Times New Roman" w:hAnsi="Times New Roman" w:cs="Times New Roman"/>
          <w:b w:val="0"/>
          <w:caps w:val="0"/>
          <w:sz w:val="22"/>
        </w:rPr>
        <w:br/>
      </w:r>
      <w:r>
        <w:rPr>
          <w:rFonts w:ascii="Times New Roman" w:eastAsia="Times New Roman" w:hAnsi="Times New Roman" w:cs="Times New Roman"/>
          <w:b w:val="0"/>
          <w:caps w:val="0"/>
          <w:sz w:val="22"/>
        </w:rPr>
        <w:t>Rady Gminy Ostrowice</w:t>
      </w:r>
      <w:r>
        <w:rPr>
          <w:rFonts w:ascii="Times New Roman" w:eastAsia="Times New Roman" w:hAnsi="Times New Roman" w:cs="Times New Roman"/>
          <w:b w:val="0"/>
          <w:caps w:val="0"/>
          <w:sz w:val="22"/>
        </w:rPr>
        <w:br/>
      </w: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30 grudnia 2015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z w:val="22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Przeniesienie planu wydatków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15"/>
        <w:gridCol w:w="960"/>
        <w:gridCol w:w="720"/>
        <w:gridCol w:w="4815"/>
        <w:gridCol w:w="1425"/>
        <w:gridCol w:w="1395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z w:val="20"/>
                <w:u w:val="none"/>
              </w:rPr>
              <w:t>Dział</w:t>
            </w:r>
          </w:p>
        </w:tc>
        <w:tc>
          <w:tcPr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z w:val="20"/>
                <w:u w:val="none"/>
              </w:rPr>
              <w:t>Rozdział</w:t>
            </w:r>
          </w:p>
        </w:tc>
        <w:tc>
          <w:tcPr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z w:val="20"/>
                <w:u w:val="none"/>
              </w:rPr>
              <w:t>§</w:t>
            </w:r>
          </w:p>
        </w:tc>
        <w:tc>
          <w:tcPr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z w:val="20"/>
                <w:u w:val="none"/>
              </w:rPr>
              <w:t>Nazwa</w:t>
            </w:r>
          </w:p>
        </w:tc>
        <w:tc>
          <w:tcPr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z w:val="20"/>
                <w:u w:val="none"/>
              </w:rPr>
              <w:t>Kwota w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z w:val="20"/>
                <w:u w:val="none"/>
              </w:rPr>
              <w:t>zmniejszenia</w:t>
            </w:r>
          </w:p>
        </w:tc>
        <w:tc>
          <w:tcPr>
            <w:tcW w:w="0" w:type="auto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z w:val="20"/>
                <w:u w:val="none"/>
              </w:rPr>
              <w:t>zwiększenia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/>
                <w:i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aps w:val="0"/>
                <w:sz w:val="16"/>
                <w:u w:val="none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/>
                <w:i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aps w:val="0"/>
                <w:sz w:val="16"/>
                <w:u w:val="none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/>
                <w:i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aps w:val="0"/>
                <w:sz w:val="16"/>
                <w:u w:val="none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/>
                <w:i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aps w:val="0"/>
                <w:sz w:val="16"/>
                <w:u w:val="none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/>
                <w:i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aps w:val="0"/>
                <w:sz w:val="16"/>
                <w:u w:val="none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/>
                <w:i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aps w:val="0"/>
                <w:sz w:val="16"/>
                <w:u w:val="none"/>
              </w:rPr>
              <w:t>6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0" w:type="auto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z w:val="22"/>
                <w:u w:val="none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z w:val="20"/>
                <w:u w:val="none"/>
              </w:rPr>
              <w:t>Rolnictwo i łowiectwo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z w:val="22"/>
                <w:u w:val="none"/>
              </w:rPr>
              <w:t>96 000,00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0" w:type="auto"/>
            <w:vMerge w:val="restart"/>
            <w:tcBorders>
              <w:top w:val="nil"/>
              <w:left w:val="single" w:sz="2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01010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Infrastruktura wodociągowa i sanitacyjna wsi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96 000,00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0" w:type="auto"/>
            <w:vMerge/>
            <w:tcBorders>
              <w:top w:val="nil"/>
              <w:left w:val="single" w:sz="2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4210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0"/>
                <w:u w:val="none"/>
              </w:rPr>
              <w:t>Zakup materiałów i wyposażenia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11 000,00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0" w:type="auto"/>
            <w:vMerge/>
            <w:tcBorders>
              <w:top w:val="nil"/>
              <w:left w:val="single" w:sz="2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4260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Zakup energii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15 000,00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0" w:type="auto"/>
            <w:vMerge/>
            <w:tcBorders>
              <w:top w:val="nil"/>
              <w:left w:val="single" w:sz="2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4300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0"/>
                <w:u w:val="none"/>
              </w:rPr>
              <w:t>Zakup usług pozostałych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60 000,00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0" w:type="auto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4530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Podatek od towarów i usług (VAT)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10 000,00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0" w:type="auto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z w:val="22"/>
                <w:u w:val="none"/>
              </w:rPr>
              <w:t>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z w:val="20"/>
                <w:u w:val="none"/>
              </w:rPr>
              <w:t>Transport i łączność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z w:val="22"/>
                <w:u w:val="none"/>
              </w:rPr>
              <w:t>20 000,00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0" w:type="auto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60016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Drogi publiczne gminne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20 000,00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0" w:type="auto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4300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Zakup usług pozostałych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20 000,00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0" w:type="auto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z w:val="22"/>
                <w:u w:val="none"/>
              </w:rPr>
              <w:t>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z w:val="20"/>
                <w:u w:val="none"/>
              </w:rPr>
              <w:t>Gospodarka mieszkaniowa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z w:val="22"/>
                <w:u w:val="none"/>
              </w:rPr>
              <w:t>10 000,00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0" w:type="auto"/>
            <w:vMerge w:val="restart"/>
            <w:tcBorders>
              <w:top w:val="nil"/>
              <w:left w:val="single" w:sz="2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70005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Gospodarka gruntami i nieruchomościami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10 000,00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0" w:type="auto"/>
            <w:vMerge/>
            <w:tcBorders>
              <w:top w:val="nil"/>
              <w:left w:val="single" w:sz="2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4210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0"/>
                <w:u w:val="none"/>
              </w:rPr>
              <w:t>Zakup materiałów i wyposażenia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5 000,00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0" w:type="auto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4300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0"/>
                <w:u w:val="none"/>
              </w:rPr>
              <w:t>Zakup usług pozostałych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5 000,00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0" w:type="auto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z w:val="22"/>
                <w:u w:val="none"/>
              </w:rPr>
              <w:t>750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z w:val="22"/>
                <w:u w:val="none"/>
              </w:rPr>
              <w:t>Administracja publiczna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z w:val="22"/>
                <w:u w:val="none"/>
              </w:rPr>
              <w:t>47 000,00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0" w:type="auto"/>
            <w:vMerge w:val="restart"/>
            <w:tcBorders>
              <w:top w:val="nil"/>
              <w:left w:val="single" w:sz="2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75022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Rady gmin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8 000,00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0" w:type="auto"/>
            <w:vMerge/>
            <w:tcBorders>
              <w:top w:val="nil"/>
              <w:left w:val="single" w:sz="2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3030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Różne wydatki na rzecz osób fizycznych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8 000,00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0" w:type="auto"/>
            <w:vMerge/>
            <w:tcBorders>
              <w:top w:val="nil"/>
              <w:left w:val="single" w:sz="2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75023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Urzędy gmin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24 000,00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0" w:type="auto"/>
            <w:vMerge/>
            <w:tcBorders>
              <w:top w:val="nil"/>
              <w:left w:val="single" w:sz="2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4210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0"/>
                <w:u w:val="none"/>
              </w:rPr>
              <w:t>Zakup materiałów i wyposażenia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6 000,00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0" w:type="auto"/>
            <w:vMerge/>
            <w:tcBorders>
              <w:top w:val="nil"/>
              <w:left w:val="single" w:sz="2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4300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Zakup usług pozostałych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18 000,00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0" w:type="auto"/>
            <w:vMerge/>
            <w:tcBorders>
              <w:top w:val="nil"/>
              <w:left w:val="single" w:sz="2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75095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Pozostała działalność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15 000,00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0" w:type="auto"/>
            <w:vMerge/>
            <w:tcBorders>
              <w:top w:val="nil"/>
              <w:left w:val="single" w:sz="2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3030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Różne wydatki na rzecz osób fizycznych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5 000,00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0" w:type="auto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4100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Wynagrodzenia agencyjno - prowizyjne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10 000,00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z w:val="22"/>
                <w:u w:val="none"/>
              </w:rPr>
              <w:t>754</w:t>
            </w:r>
          </w:p>
        </w:tc>
        <w:tc>
          <w:tcPr>
            <w:tcW w:w="0" w:type="auto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z w:val="22"/>
                <w:u w:val="none"/>
              </w:rPr>
              <w:t>Bezpieczeństwo publiczne i ochrona przeciwpożarowa</w:t>
            </w:r>
          </w:p>
        </w:tc>
        <w:tc>
          <w:tcPr>
            <w:tcW w:w="0" w:type="auto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z w:val="22"/>
                <w:u w:val="none"/>
              </w:rPr>
              <w:t>20 000,00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0" w:type="auto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75412</w:t>
            </w:r>
          </w:p>
        </w:tc>
        <w:tc>
          <w:tcPr>
            <w:tcW w:w="0" w:type="auto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Ochotnicze straże pożarne</w:t>
            </w:r>
          </w:p>
        </w:tc>
        <w:tc>
          <w:tcPr>
            <w:tcW w:w="0" w:type="auto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20 000,00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0" w:type="auto"/>
            <w:vMerge/>
            <w:tcBorders>
              <w:top w:val="nil"/>
              <w:left w:val="single" w:sz="2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4170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Wynagrodzenia bezosobowe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11 000,00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0" w:type="auto"/>
            <w:vMerge/>
            <w:tcBorders>
              <w:top w:val="nil"/>
              <w:left w:val="single" w:sz="2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4210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Zakup materiałów i wyposażenia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4 000,00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0" w:type="auto"/>
            <w:vMerge/>
            <w:tcBorders>
              <w:top w:val="nil"/>
              <w:left w:val="single" w:sz="2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4260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Zakup energii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1 200,00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0" w:type="auto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4300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Zakup usług pozostałych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2 800,00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0" w:type="auto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vMerge w:val="restart"/>
            <w:tcBorders>
              <w:top w:val="single" w:sz="2" w:space="0" w:color="auto"/>
              <w:left w:val="nil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4360</w:t>
            </w:r>
          </w:p>
        </w:tc>
        <w:tc>
          <w:tcPr>
            <w:tcW w:w="0" w:type="auto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Opłaty z tytułu zakupu usług telekomunikacyjnych</w:t>
            </w:r>
          </w:p>
        </w:tc>
        <w:tc>
          <w:tcPr>
            <w:tcW w:w="0" w:type="auto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500,00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0" w:type="auto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4430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Różne opłaty i składki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500,00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0" w:type="auto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z w:val="22"/>
                <w:u w:val="none"/>
              </w:rPr>
              <w:t>757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z w:val="22"/>
                <w:u w:val="none"/>
              </w:rPr>
              <w:t>Obsługa długu publicznego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z w:val="22"/>
                <w:u w:val="none"/>
              </w:rPr>
              <w:t>470 308,00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0" w:type="auto"/>
            <w:vMerge w:val="restart"/>
            <w:tcBorders>
              <w:top w:val="nil"/>
              <w:left w:val="single" w:sz="2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75702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Obsługa papierów wartościowych, kredytów i pożyczek jednostek samorządu terytorialnego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470 308,00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0" w:type="auto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8070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Odsetki, dyskonto i inne rozliczenia dotyczące skarbowych papierów wartościowych, kredytów i pożyczek oraz innych instrumentów finansowych, związanych z obsługą długu krajowego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470 308,00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0" w:type="auto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z w:val="22"/>
                <w:u w:val="none"/>
              </w:rPr>
              <w:t>801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z w:val="22"/>
                <w:u w:val="none"/>
              </w:rPr>
              <w:t>Oświata i wychowanie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z w:val="22"/>
                <w:u w:val="none"/>
              </w:rPr>
              <w:t>250 000,00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0" w:type="auto"/>
            <w:vMerge w:val="restart"/>
            <w:tcBorders>
              <w:top w:val="nil"/>
              <w:left w:val="single" w:sz="2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80101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Szkoły podstawowe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138 000,00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0" w:type="auto"/>
            <w:vMerge/>
            <w:tcBorders>
              <w:top w:val="nil"/>
              <w:left w:val="single" w:sz="2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4010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Wynagrodzenia osobowe pracowników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124 000,00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0" w:type="auto"/>
            <w:vMerge/>
            <w:tcBorders>
              <w:top w:val="nil"/>
              <w:left w:val="single" w:sz="2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0"/>
                <w:u w:val="none"/>
              </w:rPr>
              <w:t>4110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Składki na ubezpieczenia społeczne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14 000,00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0" w:type="auto"/>
            <w:vMerge/>
            <w:tcBorders>
              <w:top w:val="nil"/>
              <w:left w:val="single" w:sz="2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80103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Oddziały przedszkolne w szkołach podstawowych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4 000,00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0" w:type="auto"/>
            <w:vMerge/>
            <w:tcBorders>
              <w:top w:val="nil"/>
              <w:left w:val="single" w:sz="2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4010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Wynagrodzenia osobowe pracowników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4 000,00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0" w:type="auto"/>
            <w:vMerge/>
            <w:tcBorders>
              <w:top w:val="nil"/>
              <w:left w:val="single" w:sz="2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80106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Inne formy wychowania przedszkolnego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20 000,00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0" w:type="auto"/>
            <w:vMerge/>
            <w:tcBorders>
              <w:top w:val="nil"/>
              <w:left w:val="single" w:sz="2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4300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Zakup usług pozostałych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20 000,00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0" w:type="auto"/>
            <w:vMerge/>
            <w:tcBorders>
              <w:top w:val="nil"/>
              <w:left w:val="single" w:sz="2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80110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Gimnazja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8 000,00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0" w:type="auto"/>
            <w:vMerge/>
            <w:tcBorders>
              <w:top w:val="nil"/>
              <w:left w:val="single" w:sz="2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4011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Składki na ubezpieczenia społeczne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8 000,00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0" w:type="auto"/>
            <w:vMerge/>
            <w:tcBorders>
              <w:top w:val="nil"/>
              <w:left w:val="single" w:sz="2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0"/>
                <w:u w:val="none"/>
              </w:rPr>
              <w:t>80113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Dowożenie uczniów do szkół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80 000,00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0" w:type="auto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0"/>
                <w:u w:val="none"/>
              </w:rPr>
              <w:t>4300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Zakup usług pozostałych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80 000,00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0" w:type="auto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z w:val="22"/>
                <w:u w:val="none"/>
              </w:rPr>
              <w:t>852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z w:val="22"/>
                <w:u w:val="none"/>
              </w:rPr>
              <w:t>Pomoc społeczna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z w:val="22"/>
                <w:u w:val="none"/>
              </w:rPr>
              <w:t>10 000,00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0" w:type="auto"/>
            <w:vMerge w:val="restart"/>
            <w:tcBorders>
              <w:top w:val="nil"/>
              <w:left w:val="single" w:sz="2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85206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Wspieranie rodziny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10 000,00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0" w:type="auto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4010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Wynagrodzenia osobowe pracowników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10 000,00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0" w:type="auto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z w:val="22"/>
                <w:u w:val="none"/>
              </w:rPr>
              <w:t>854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z w:val="22"/>
                <w:u w:val="none"/>
              </w:rPr>
              <w:t>Edukacyjna opieka wychowawcza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41 308,00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0" w:type="auto"/>
            <w:vMerge w:val="restart"/>
            <w:tcBorders>
              <w:top w:val="nil"/>
              <w:left w:val="single" w:sz="2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85415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Pomoc materialna dla uczniów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41 308,00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0" w:type="auto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0"/>
                <w:u w:val="none"/>
              </w:rPr>
              <w:t>3260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Inne formy pomocy dla uczniów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41 308,00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0" w:type="auto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z w:val="22"/>
                <w:u w:val="none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z w:val="22"/>
                <w:u w:val="none"/>
              </w:rPr>
              <w:t>Gospodarka komunalna i ochrona środowiska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z w:val="22"/>
                <w:u w:val="none"/>
              </w:rPr>
              <w:t>5 000,00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0" w:type="auto"/>
            <w:vMerge w:val="restart"/>
            <w:tcBorders>
              <w:top w:val="nil"/>
              <w:left w:val="single" w:sz="2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90095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Pozostała działalność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5 000,00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0" w:type="auto"/>
            <w:vMerge/>
            <w:tcBorders>
              <w:top w:val="nil"/>
              <w:left w:val="single" w:sz="2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4210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Zakup materiałów i wyposażenia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2 000,00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0" w:type="auto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0"/>
                <w:u w:val="none"/>
              </w:rPr>
              <w:t>4300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Zakup usług pozostałych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3 000,00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0" w:type="auto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z w:val="20"/>
                <w:u w:val="none"/>
              </w:rPr>
              <w:t>921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z w:val="20"/>
                <w:u w:val="none"/>
              </w:rPr>
              <w:t>Kultura i ochrona dziedzictwa narodowego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z w:val="22"/>
                <w:u w:val="none"/>
              </w:rPr>
              <w:t>14 000,00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0" w:type="auto"/>
            <w:vMerge w:val="restart"/>
            <w:tcBorders>
              <w:top w:val="nil"/>
              <w:left w:val="single" w:sz="2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92109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Domy i ośrodki kultury, świetlice i kluby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12 000,00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0" w:type="auto"/>
            <w:vMerge/>
            <w:tcBorders>
              <w:top w:val="nil"/>
              <w:left w:val="single" w:sz="2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vMerge w:val="restart"/>
            <w:tcBorders>
              <w:top w:val="single" w:sz="2" w:space="0" w:color="auto"/>
              <w:left w:val="nil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4170</w:t>
            </w:r>
          </w:p>
        </w:tc>
        <w:tc>
          <w:tcPr>
            <w:tcW w:w="0" w:type="auto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Wynagrodzenia bezosobowe</w:t>
            </w:r>
          </w:p>
        </w:tc>
        <w:tc>
          <w:tcPr>
            <w:tcW w:w="0" w:type="auto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5 000,00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0" w:type="auto"/>
            <w:vMerge/>
            <w:tcBorders>
              <w:top w:val="nil"/>
              <w:left w:val="single" w:sz="2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4210</w:t>
            </w:r>
          </w:p>
        </w:tc>
        <w:tc>
          <w:tcPr>
            <w:tcW w:w="0" w:type="auto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Zakup materiałów i wyposażenia</w:t>
            </w:r>
          </w:p>
        </w:tc>
        <w:tc>
          <w:tcPr>
            <w:tcW w:w="0" w:type="auto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3 000,00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0" w:type="auto"/>
            <w:vMerge/>
            <w:tcBorders>
              <w:top w:val="nil"/>
              <w:left w:val="single" w:sz="2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4260</w:t>
            </w:r>
          </w:p>
        </w:tc>
        <w:tc>
          <w:tcPr>
            <w:tcW w:w="0" w:type="auto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Zakup energii</w:t>
            </w:r>
          </w:p>
        </w:tc>
        <w:tc>
          <w:tcPr>
            <w:tcW w:w="0" w:type="auto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2 000,00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0" w:type="auto"/>
            <w:vMerge/>
            <w:tcBorders>
              <w:top w:val="nil"/>
              <w:left w:val="single" w:sz="2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4300</w:t>
            </w:r>
          </w:p>
        </w:tc>
        <w:tc>
          <w:tcPr>
            <w:tcW w:w="0" w:type="auto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0"/>
                <w:u w:val="none"/>
              </w:rPr>
              <w:t>Zakup usług pozostałych</w:t>
            </w:r>
          </w:p>
        </w:tc>
        <w:tc>
          <w:tcPr>
            <w:tcW w:w="0" w:type="auto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2 000,00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0" w:type="auto"/>
            <w:vMerge/>
            <w:tcBorders>
              <w:top w:val="nil"/>
              <w:left w:val="single" w:sz="2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0"/>
                <w:u w:val="none"/>
              </w:rPr>
              <w:t>92195</w:t>
            </w:r>
          </w:p>
        </w:tc>
        <w:tc>
          <w:tcPr>
            <w:tcW w:w="0" w:type="auto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0"/>
                <w:u w:val="none"/>
              </w:rPr>
              <w:t>Pozostała działalność</w:t>
            </w:r>
          </w:p>
        </w:tc>
        <w:tc>
          <w:tcPr>
            <w:tcW w:w="0" w:type="auto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2 000,00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0" w:type="auto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0"/>
                <w:u w:val="none"/>
              </w:rPr>
              <w:t>4300</w:t>
            </w:r>
          </w:p>
        </w:tc>
        <w:tc>
          <w:tcPr>
            <w:tcW w:w="0" w:type="auto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Zakup usług pozostałych</w:t>
            </w:r>
          </w:p>
        </w:tc>
        <w:tc>
          <w:tcPr>
            <w:tcW w:w="0" w:type="auto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2 000,00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z w:val="22"/>
                <w:u w:val="none"/>
              </w:rPr>
              <w:t>926</w:t>
            </w:r>
          </w:p>
        </w:tc>
        <w:tc>
          <w:tcPr>
            <w:tcW w:w="0" w:type="auto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z w:val="22"/>
                <w:u w:val="none"/>
              </w:rPr>
              <w:t>Kultura fizyczna</w:t>
            </w:r>
          </w:p>
        </w:tc>
        <w:tc>
          <w:tcPr>
            <w:tcW w:w="0" w:type="auto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z w:val="22"/>
                <w:u w:val="none"/>
              </w:rPr>
              <w:t>5 000,00</w:t>
            </w:r>
          </w:p>
        </w:tc>
        <w:tc>
          <w:tcPr>
            <w:tcW w:w="0" w:type="auto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z w:val="22"/>
                <w:u w:val="none"/>
              </w:rPr>
              <w:t>2 000,00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0" w:type="auto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0"/>
                <w:u w:val="none"/>
              </w:rPr>
              <w:t>92695</w:t>
            </w:r>
          </w:p>
        </w:tc>
        <w:tc>
          <w:tcPr>
            <w:tcW w:w="0" w:type="auto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0"/>
                <w:u w:val="none"/>
              </w:rPr>
              <w:t>Pozostała działalność</w:t>
            </w:r>
          </w:p>
        </w:tc>
        <w:tc>
          <w:tcPr>
            <w:tcW w:w="0" w:type="auto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5 000,00</w:t>
            </w:r>
          </w:p>
        </w:tc>
        <w:tc>
          <w:tcPr>
            <w:tcW w:w="0" w:type="auto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2 000,00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0" w:type="auto"/>
            <w:vMerge/>
            <w:tcBorders>
              <w:top w:val="nil"/>
              <w:left w:val="single" w:sz="2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vMerge w:val="restart"/>
            <w:tcBorders>
              <w:top w:val="single" w:sz="2" w:space="0" w:color="auto"/>
              <w:left w:val="nil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0"/>
                <w:u w:val="none"/>
              </w:rPr>
              <w:t>4170</w:t>
            </w:r>
          </w:p>
        </w:tc>
        <w:tc>
          <w:tcPr>
            <w:tcW w:w="0" w:type="auto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0"/>
                <w:u w:val="none"/>
              </w:rPr>
              <w:t>Wynagrodzenia bezosobowe</w:t>
            </w:r>
          </w:p>
        </w:tc>
        <w:tc>
          <w:tcPr>
            <w:tcW w:w="0" w:type="auto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5 000,00</w:t>
            </w:r>
          </w:p>
        </w:tc>
        <w:tc>
          <w:tcPr>
            <w:tcW w:w="0" w:type="auto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0" w:type="auto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0"/>
                <w:u w:val="none"/>
              </w:rPr>
              <w:t>4260</w:t>
            </w:r>
          </w:p>
        </w:tc>
        <w:tc>
          <w:tcPr>
            <w:tcW w:w="0" w:type="auto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0"/>
                <w:u w:val="none"/>
              </w:rPr>
              <w:t>Zakup energii</w:t>
            </w:r>
          </w:p>
        </w:tc>
        <w:tc>
          <w:tcPr>
            <w:tcW w:w="0" w:type="auto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</w:p>
        </w:tc>
        <w:tc>
          <w:tcPr>
            <w:tcW w:w="0" w:type="auto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z w:val="22"/>
                <w:u w:val="none"/>
              </w:rPr>
              <w:t>2 000,00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0" w:type="auto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z w:val="20"/>
                <w:u w:val="none"/>
              </w:rPr>
              <w:t>RAZEM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z w:val="20"/>
                <w:u w:val="none"/>
              </w:rPr>
              <w:t>495 308,00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/>
                <w:i w:val="0"/>
                <w:caps w:val="0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z w:val="20"/>
                <w:u w:val="none"/>
              </w:rPr>
              <w:t>495 308,00</w:t>
            </w:r>
          </w:p>
        </w:tc>
      </w:tr>
    </w:tbl>
    <w:p>
      <w:pPr>
        <w:sectPr>
          <w:footerReference w:type="default" r:id="rId5"/>
          <w:type w:val="nextPage"/>
          <w:pgSz w:w="11906" w:h="16838"/>
          <w:pgMar w:top="850" w:right="850" w:bottom="1417" w:left="850" w:header="708" w:footer="708" w:gutter="0"/>
          <w:pgNumType w:start="1"/>
          <w:cols w:space="708"/>
          <w:docGrid w:linePitch="360"/>
        </w:sectPr>
      </w:pPr>
    </w:p>
    <w:p>
      <w:r>
        <w:fldChar w:fldCharType="begin"/>
      </w:r>
      <w:r>
        <w:fldChar w:fldCharType="separate"/>
      </w:r>
      <w:r>
        <w:fldChar w:fldCharType="end"/>
      </w:r>
    </w:p>
    <w:p>
      <w:pPr>
        <w:keepNext w:val="0"/>
        <w:keepLines w:val="0"/>
        <w:ind w:left="0" w:right="0" w:firstLine="0"/>
        <w:jc w:val="center"/>
      </w:pPr>
      <w:r>
        <w:rPr>
          <w:b/>
          <w:caps w:val="0"/>
          <w:spacing w:val="20"/>
          <w:w w:val="100"/>
        </w:rPr>
        <w:t>Uzasadnienie</w:t>
      </w:r>
    </w:p>
    <w:p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caps w:val="0"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ab/>
      </w:r>
      <w:r>
        <w:rPr>
          <w:rFonts w:ascii="Times New Roman" w:eastAsia="Times New Roman" w:hAnsi="Times New Roman" w:cs="Times New Roman"/>
          <w:b w:val="0"/>
          <w:caps w:val="0"/>
          <w:sz w:val="22"/>
        </w:rPr>
        <w:t>Zwiększenia planu wydatków w poszczególnych  podziałkach klasyfikacji budżetowej dotyczą uzupełnienia brakujących środków w wyniku niedoszacowania oraz wystąpienia dodatkowych kosztów.</w:t>
      </w:r>
    </w:p>
    <w:p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caps w:val="0"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ab/>
      </w:r>
      <w:r>
        <w:rPr>
          <w:rFonts w:ascii="Times New Roman" w:eastAsia="Times New Roman" w:hAnsi="Times New Roman" w:cs="Times New Roman"/>
          <w:b w:val="0"/>
          <w:caps w:val="0"/>
          <w:sz w:val="22"/>
        </w:rPr>
        <w:t>Ponadto stanowią zabezpieczenie wkładu własnego w zadaniach realizowanych przy udziale dotacji z budżetu państwa, w tym:</w:t>
      </w:r>
    </w:p>
    <w:p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caps w:val="0"/>
          <w:sz w:val="22"/>
        </w:rPr>
      </w:pPr>
      <w:r>
        <w:t>- </w:t>
      </w:r>
      <w:r>
        <w:rPr>
          <w:rFonts w:ascii="Times New Roman" w:eastAsia="Times New Roman" w:hAnsi="Times New Roman" w:cs="Times New Roman"/>
          <w:b w:val="0"/>
          <w:caps w:val="0"/>
          <w:sz w:val="22"/>
        </w:rPr>
        <w:t>w dziale 852 – Pomoc społeczna, w rozdziale    85206 – Wspieranie rodziny – 10 000,00 zł,</w:t>
      </w:r>
    </w:p>
    <w:p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caps w:val="0"/>
          <w:sz w:val="22"/>
        </w:rPr>
      </w:pPr>
      <w:r>
        <w:t>- </w:t>
      </w:r>
      <w:r>
        <w:rPr>
          <w:rFonts w:ascii="Times New Roman" w:eastAsia="Times New Roman" w:hAnsi="Times New Roman" w:cs="Times New Roman"/>
          <w:b w:val="0"/>
          <w:caps w:val="0"/>
          <w:sz w:val="22"/>
        </w:rPr>
        <w:t>w dziale 854 – Edukacyjna opieka wychowawcza, w rozdziale 85415 – Pomoc materialna dla uczniów – 41 308,00 zł.</w:t>
      </w:r>
    </w:p>
    <w:p>
      <w:pPr>
        <w:keepNext w:val="0"/>
        <w:keepLines w:val="0"/>
        <w:spacing w:before="120" w:after="120" w:line="240" w:lineRule="auto"/>
        <w:ind w:left="510" w:right="0" w:firstLine="227"/>
        <w:jc w:val="both"/>
        <w:rPr>
          <w:rFonts w:ascii="Times New Roman" w:eastAsia="Times New Roman" w:hAnsi="Times New Roman" w:cs="Times New Roman"/>
          <w:b w:val="0"/>
          <w:caps w:val="0"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ab/>
      </w:r>
    </w:p>
    <w:sectPr>
      <w:footerReference w:type="default" r:id="rId6"/>
      <w:type w:val="nextPage"/>
      <w:pgSz w:w="11906" w:h="16838"/>
      <w:pgMar w:top="850" w:right="850" w:bottom="1417" w:left="85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center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F02DE7E0-A9D1-4893-A8BA-521CA1101667. Podpisany</w:t>
          </w:r>
        </w:p>
      </w:tc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center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center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F02DE7E0-A9D1-4893-A8BA-521CA1101667. Podpisany</w:t>
          </w:r>
        </w:p>
      </w:tc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center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center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F02DE7E0-A9D1-4893-A8BA-521CA1101667. Podpisany</w:t>
          </w:r>
        </w:p>
      </w:tc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center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Gminy Ostrowice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XI/56/15 z dnia 30 grudnia 2015 r.</dc:title>
  <dc:subject>w sprawie  zmian w budżecie gminy na 2015 r.</dc:subject>
  <dc:creator>User16</dc:creator>
  <cp:lastModifiedBy>User16</cp:lastModifiedBy>
  <cp:revision>1</cp:revision>
  <dcterms:created xsi:type="dcterms:W3CDTF">2016-01-12T10:35:11Z</dcterms:created>
  <dcterms:modified xsi:type="dcterms:W3CDTF">2016-01-12T10:35:11Z</dcterms:modified>
  <cp:category>Akt prawny</cp:category>
</cp:coreProperties>
</file>